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8"/>
          <w:szCs w:val="28"/>
          <w:lang w:eastAsia="en-US"/>
        </w:rPr>
      </w:pPr>
      <w:r w:rsidRPr="007B1CBA">
        <w:rPr>
          <w:rFonts w:eastAsia="Calibri" w:cs="Arial"/>
          <w:b/>
          <w:bCs/>
          <w:sz w:val="28"/>
          <w:szCs w:val="28"/>
          <w:lang w:eastAsia="en-US"/>
        </w:rPr>
        <w:t>Technischer Anhang: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  <w:r w:rsidRPr="007B1CBA">
        <w:rPr>
          <w:rFonts w:eastAsia="Calibri" w:cs="Arial"/>
          <w:i/>
          <w:iCs/>
          <w:sz w:val="22"/>
          <w:szCs w:val="22"/>
          <w:lang w:eastAsia="en-US"/>
        </w:rPr>
        <w:t>(Der technische Anhang ist wie der Vertrag selbst als Muster zu verstehen und muss individuell auf die Umstände der jeweiligen Vertragspartner angepasst werden. Sollten bestimmte</w:t>
      </w:r>
      <w:r>
        <w:rPr>
          <w:rFonts w:eastAsia="Calibri" w:cs="Arial"/>
          <w:i/>
          <w:iCs/>
          <w:sz w:val="22"/>
          <w:szCs w:val="22"/>
          <w:lang w:eastAsia="en-US"/>
        </w:rPr>
        <w:t xml:space="preserve"> </w:t>
      </w:r>
      <w:r w:rsidRPr="007B1CBA">
        <w:rPr>
          <w:rFonts w:eastAsia="Calibri" w:cs="Arial"/>
          <w:i/>
          <w:iCs/>
          <w:sz w:val="22"/>
          <w:szCs w:val="22"/>
          <w:lang w:eastAsia="en-US"/>
        </w:rPr>
        <w:t>Einzelheiten bereits im Lieferantenrahmenvertrag geregelt sein (wie z.B. Ansprechpartner),</w:t>
      </w:r>
      <w:r>
        <w:rPr>
          <w:rFonts w:eastAsia="Calibri" w:cs="Arial"/>
          <w:i/>
          <w:iCs/>
          <w:sz w:val="22"/>
          <w:szCs w:val="22"/>
          <w:lang w:eastAsia="en-US"/>
        </w:rPr>
        <w:t xml:space="preserve"> </w:t>
      </w:r>
      <w:r w:rsidRPr="007B1CBA">
        <w:rPr>
          <w:rFonts w:eastAsia="Calibri" w:cs="Arial"/>
          <w:i/>
          <w:iCs/>
          <w:sz w:val="22"/>
          <w:szCs w:val="22"/>
          <w:lang w:eastAsia="en-US"/>
        </w:rPr>
        <w:t>können solche Punkte im technischen Anhang auch vollständig entfallen.)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i/>
          <w:iCs/>
          <w:sz w:val="22"/>
          <w:szCs w:val="22"/>
          <w:lang w:eastAsia="en-US"/>
        </w:rPr>
      </w:pP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303203">
        <w:rPr>
          <w:rFonts w:eastAsia="Calibri" w:cs="Arial"/>
          <w:b/>
          <w:bCs/>
          <w:sz w:val="22"/>
          <w:szCs w:val="22"/>
          <w:lang w:eastAsia="en-US"/>
        </w:rPr>
        <w:t>1. Ansprechpartner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Technische Fragen</w:t>
      </w:r>
      <w:r w:rsidR="00DD1042">
        <w:rPr>
          <w:rFonts w:eastAsia="Calibri" w:cs="Arial"/>
          <w:sz w:val="22"/>
          <w:szCs w:val="22"/>
          <w:lang w:eastAsia="en-US"/>
        </w:rPr>
        <w:tab/>
      </w:r>
      <w:r w:rsidR="00DD1042">
        <w:rPr>
          <w:rFonts w:eastAsia="Calibri" w:cs="Arial"/>
          <w:sz w:val="22"/>
          <w:szCs w:val="22"/>
          <w:lang w:eastAsia="en-US"/>
        </w:rPr>
        <w:tab/>
      </w:r>
      <w:r w:rsidR="00DD1042" w:rsidRPr="00035CA5">
        <w:rPr>
          <w:rFonts w:eastAsia="Calibri" w:cs="Arial"/>
          <w:color w:val="1F4E79" w:themeColor="accent1" w:themeShade="80"/>
          <w:sz w:val="22"/>
          <w:szCs w:val="22"/>
          <w:lang w:eastAsia="en-US"/>
        </w:rPr>
        <w:t>Stephan Winkelmann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Vertragliche Fragen</w:t>
      </w:r>
      <w:r w:rsidR="00DD1042">
        <w:rPr>
          <w:rFonts w:eastAsia="Calibri" w:cs="Arial"/>
          <w:sz w:val="22"/>
          <w:szCs w:val="22"/>
          <w:lang w:eastAsia="en-US"/>
        </w:rPr>
        <w:tab/>
      </w:r>
      <w:r w:rsidR="00DD1042">
        <w:rPr>
          <w:rFonts w:eastAsia="Calibri" w:cs="Arial"/>
          <w:sz w:val="22"/>
          <w:szCs w:val="22"/>
          <w:lang w:eastAsia="en-US"/>
        </w:rPr>
        <w:tab/>
      </w:r>
      <w:r w:rsidR="00DD1042" w:rsidRPr="00035CA5">
        <w:rPr>
          <w:rFonts w:eastAsia="Calibri" w:cs="Arial"/>
          <w:color w:val="1F4E79" w:themeColor="accent1" w:themeShade="80"/>
          <w:sz w:val="22"/>
          <w:szCs w:val="22"/>
          <w:lang w:eastAsia="en-US"/>
        </w:rPr>
        <w:t>EVU-Assist</w:t>
      </w:r>
    </w:p>
    <w:p w:rsidR="00A53CA6" w:rsidRPr="00035CA5" w:rsidRDefault="00A53CA6" w:rsidP="00A53CA6">
      <w:pPr>
        <w:autoSpaceDE w:val="0"/>
        <w:autoSpaceDN w:val="0"/>
        <w:adjustRightInd w:val="0"/>
        <w:rPr>
          <w:rFonts w:eastAsia="Calibri" w:cs="Arial"/>
          <w:color w:val="1F4E79" w:themeColor="accent1" w:themeShade="80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Briefadresse</w:t>
      </w:r>
      <w:r w:rsidR="00DD1042">
        <w:rPr>
          <w:rFonts w:eastAsia="Calibri" w:cs="Arial"/>
          <w:sz w:val="22"/>
          <w:szCs w:val="22"/>
          <w:lang w:eastAsia="en-US"/>
        </w:rPr>
        <w:tab/>
      </w:r>
      <w:r w:rsidR="00DD1042">
        <w:rPr>
          <w:rFonts w:eastAsia="Calibri" w:cs="Arial"/>
          <w:sz w:val="22"/>
          <w:szCs w:val="22"/>
          <w:lang w:eastAsia="en-US"/>
        </w:rPr>
        <w:tab/>
      </w:r>
      <w:r w:rsidR="00DD1042">
        <w:rPr>
          <w:rFonts w:eastAsia="Calibri" w:cs="Arial"/>
          <w:sz w:val="22"/>
          <w:szCs w:val="22"/>
          <w:lang w:eastAsia="en-US"/>
        </w:rPr>
        <w:tab/>
      </w:r>
      <w:r w:rsidR="00DD1042" w:rsidRPr="00035CA5">
        <w:rPr>
          <w:rFonts w:eastAsia="Calibri" w:cs="Arial"/>
          <w:color w:val="1F4E79" w:themeColor="accent1" w:themeShade="80"/>
          <w:sz w:val="22"/>
          <w:szCs w:val="22"/>
          <w:lang w:eastAsia="en-US"/>
        </w:rPr>
        <w:t>Zwischen den Kreiseln 1, 21039 Börnsen</w:t>
      </w:r>
    </w:p>
    <w:p w:rsidR="00A53CA6" w:rsidRPr="00DD1042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val="en-US" w:eastAsia="en-US"/>
        </w:rPr>
      </w:pPr>
      <w:r w:rsidRPr="00DD1042">
        <w:rPr>
          <w:rFonts w:eastAsia="Calibri" w:cs="Arial"/>
          <w:sz w:val="16"/>
          <w:szCs w:val="16"/>
          <w:lang w:val="en-US" w:eastAsia="en-US"/>
        </w:rPr>
        <w:t xml:space="preserve">- </w:t>
      </w:r>
      <w:proofErr w:type="spellStart"/>
      <w:r w:rsidRPr="00DD1042">
        <w:rPr>
          <w:rFonts w:eastAsia="Calibri" w:cs="Arial"/>
          <w:sz w:val="22"/>
          <w:szCs w:val="22"/>
          <w:lang w:val="en-US" w:eastAsia="en-US"/>
        </w:rPr>
        <w:t>Faxadresse</w:t>
      </w:r>
      <w:proofErr w:type="spellEnd"/>
      <w:r w:rsidR="00DD1042" w:rsidRPr="00DD1042">
        <w:rPr>
          <w:rFonts w:eastAsia="Calibri" w:cs="Arial"/>
          <w:sz w:val="22"/>
          <w:szCs w:val="22"/>
          <w:lang w:val="en-US" w:eastAsia="en-US"/>
        </w:rPr>
        <w:tab/>
      </w:r>
      <w:r w:rsidR="00DD1042" w:rsidRPr="00DD1042">
        <w:rPr>
          <w:rFonts w:eastAsia="Calibri" w:cs="Arial"/>
          <w:sz w:val="22"/>
          <w:szCs w:val="22"/>
          <w:lang w:val="en-US" w:eastAsia="en-US"/>
        </w:rPr>
        <w:tab/>
      </w:r>
      <w:r w:rsidR="00DD1042" w:rsidRPr="00DD1042">
        <w:rPr>
          <w:rFonts w:eastAsia="Calibri" w:cs="Arial"/>
          <w:sz w:val="22"/>
          <w:szCs w:val="22"/>
          <w:lang w:val="en-US" w:eastAsia="en-US"/>
        </w:rPr>
        <w:tab/>
      </w:r>
      <w:r w:rsidR="00DD1042" w:rsidRPr="00035CA5">
        <w:rPr>
          <w:rFonts w:eastAsia="Calibri" w:cs="Arial"/>
          <w:color w:val="1F4E79" w:themeColor="accent1" w:themeShade="80"/>
          <w:sz w:val="22"/>
          <w:szCs w:val="22"/>
          <w:lang w:val="en-US" w:eastAsia="en-US"/>
        </w:rPr>
        <w:t>040 73098281</w:t>
      </w:r>
    </w:p>
    <w:p w:rsidR="00A53CA6" w:rsidRPr="00035CA5" w:rsidRDefault="00A53CA6" w:rsidP="00A53CA6">
      <w:pPr>
        <w:autoSpaceDE w:val="0"/>
        <w:autoSpaceDN w:val="0"/>
        <w:adjustRightInd w:val="0"/>
        <w:rPr>
          <w:rFonts w:eastAsia="Calibri" w:cs="Arial"/>
          <w:color w:val="1F4E79" w:themeColor="accent1" w:themeShade="80"/>
          <w:sz w:val="22"/>
          <w:szCs w:val="22"/>
          <w:lang w:val="en-US" w:eastAsia="en-US"/>
        </w:rPr>
      </w:pPr>
      <w:r w:rsidRPr="00DD1042">
        <w:rPr>
          <w:rFonts w:eastAsia="Calibri" w:cs="Arial"/>
          <w:sz w:val="16"/>
          <w:szCs w:val="16"/>
          <w:lang w:val="en-US" w:eastAsia="en-US"/>
        </w:rPr>
        <w:t xml:space="preserve">- </w:t>
      </w:r>
      <w:r w:rsidRPr="00DD1042">
        <w:rPr>
          <w:rFonts w:eastAsia="Calibri" w:cs="Arial"/>
          <w:sz w:val="22"/>
          <w:szCs w:val="22"/>
          <w:lang w:val="en-US" w:eastAsia="en-US"/>
        </w:rPr>
        <w:t xml:space="preserve">Email </w:t>
      </w:r>
      <w:proofErr w:type="spellStart"/>
      <w:r w:rsidRPr="00DD1042">
        <w:rPr>
          <w:rFonts w:eastAsia="Calibri" w:cs="Arial"/>
          <w:sz w:val="22"/>
          <w:szCs w:val="22"/>
          <w:lang w:val="en-US" w:eastAsia="en-US"/>
        </w:rPr>
        <w:t>Adresse</w:t>
      </w:r>
      <w:proofErr w:type="spellEnd"/>
      <w:r w:rsidR="00DD1042" w:rsidRPr="00DD1042">
        <w:rPr>
          <w:rFonts w:eastAsia="Calibri" w:cs="Arial"/>
          <w:sz w:val="22"/>
          <w:szCs w:val="22"/>
          <w:lang w:val="en-US" w:eastAsia="en-US"/>
        </w:rPr>
        <w:tab/>
      </w:r>
      <w:r w:rsidR="00DD1042" w:rsidRPr="00DD1042">
        <w:rPr>
          <w:rFonts w:eastAsia="Calibri" w:cs="Arial"/>
          <w:sz w:val="22"/>
          <w:szCs w:val="22"/>
          <w:lang w:val="en-US" w:eastAsia="en-US"/>
        </w:rPr>
        <w:tab/>
      </w:r>
      <w:r w:rsidR="00DD1042" w:rsidRPr="00035CA5">
        <w:rPr>
          <w:rFonts w:eastAsia="Calibri" w:cs="Arial"/>
          <w:color w:val="1F4E79" w:themeColor="accent1" w:themeShade="80"/>
          <w:sz w:val="22"/>
          <w:szCs w:val="22"/>
          <w:lang w:val="en-US" w:eastAsia="en-US"/>
        </w:rPr>
        <w:t>info@gwb-netz.de</w:t>
      </w:r>
    </w:p>
    <w:p w:rsidR="00A53CA6" w:rsidRPr="00DD1042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val="en-US"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2. Die Vertragsparteien kommunizieren über folgenden Übertragungsweg: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(s. unter anderem Kommunikationsrichtlinie)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 xml:space="preserve">Kommunikationsadresse </w:t>
      </w:r>
      <w:r w:rsidR="00035CA5">
        <w:rPr>
          <w:rFonts w:eastAsia="Calibri" w:cs="Arial"/>
          <w:sz w:val="22"/>
          <w:szCs w:val="22"/>
          <w:lang w:eastAsia="en-US"/>
        </w:rPr>
        <w:tab/>
      </w:r>
      <w:r w:rsidR="00035CA5" w:rsidRPr="00035CA5">
        <w:rPr>
          <w:rFonts w:eastAsia="Calibri" w:cs="Arial"/>
          <w:color w:val="1F4E79" w:themeColor="accent1" w:themeShade="80"/>
          <w:sz w:val="22"/>
          <w:szCs w:val="22"/>
          <w:lang w:eastAsia="en-US"/>
        </w:rPr>
        <w:t>info@gwb-netz.de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bookmarkStart w:id="0" w:name="_GoBack"/>
      <w:bookmarkEnd w:id="0"/>
      <w:r w:rsidRPr="007B1CBA">
        <w:rPr>
          <w:rFonts w:eastAsia="Calibri" w:cs="Arial"/>
          <w:sz w:val="22"/>
          <w:szCs w:val="22"/>
          <w:lang w:eastAsia="en-US"/>
        </w:rPr>
        <w:t>- Maximale Sendungsgröße gemäß Kommunikationsrichtlinie</w:t>
      </w:r>
      <w:r w:rsidR="00035CA5">
        <w:rPr>
          <w:rFonts w:eastAsia="Calibri" w:cs="Arial"/>
          <w:sz w:val="22"/>
          <w:szCs w:val="22"/>
          <w:lang w:eastAsia="en-US"/>
        </w:rPr>
        <w:tab/>
      </w:r>
      <w:r w:rsidR="00035CA5" w:rsidRPr="00035CA5">
        <w:rPr>
          <w:rFonts w:eastAsia="Calibri" w:cs="Arial"/>
          <w:color w:val="1F4E79" w:themeColor="accent1" w:themeShade="80"/>
          <w:sz w:val="22"/>
          <w:szCs w:val="22"/>
          <w:lang w:eastAsia="en-US"/>
        </w:rPr>
        <w:t>keine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="00035CA5">
        <w:rPr>
          <w:rFonts w:eastAsia="Calibri" w:cs="Arial"/>
          <w:sz w:val="22"/>
          <w:szCs w:val="22"/>
          <w:lang w:eastAsia="en-US"/>
        </w:rPr>
        <w:t>Kompressionsart G ZIP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>3. Der Übertragungsweg ist wie folgt gesichert (s. VEDIS)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Verschlüsselungsverfahren (SMIME, AS2)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16"/>
          <w:szCs w:val="16"/>
          <w:lang w:eastAsia="en-US"/>
        </w:rPr>
        <w:t xml:space="preserve">- </w:t>
      </w:r>
      <w:r w:rsidRPr="007B1CBA">
        <w:rPr>
          <w:rFonts w:eastAsia="Calibri" w:cs="Arial"/>
          <w:sz w:val="22"/>
          <w:szCs w:val="22"/>
          <w:lang w:eastAsia="en-US"/>
        </w:rPr>
        <w:t>Verschlüsselungsparameter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 xml:space="preserve">4. </w:t>
      </w:r>
      <w:r w:rsidRPr="00303203">
        <w:rPr>
          <w:rFonts w:eastAsia="Calibri" w:cs="Arial"/>
          <w:b/>
          <w:bCs/>
          <w:sz w:val="22"/>
          <w:szCs w:val="22"/>
          <w:lang w:eastAsia="en-US"/>
        </w:rPr>
        <w:t>Die Datenübertragung erfolgt im folgenden Format: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22"/>
          <w:szCs w:val="22"/>
          <w:lang w:eastAsia="en-US"/>
        </w:rPr>
        <w:t>- INVOIC in der jeweils von der Bundesnetzagentur vorgegebenen Version, veröffentlicht unter www.edi-energy.de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REMADV in der jeweils von der Bundesnetzagentur vorgegebenen Version veröffentlicht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22"/>
          <w:szCs w:val="22"/>
          <w:lang w:eastAsia="en-US"/>
        </w:rPr>
        <w:t>unter www.edi-energy.de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Dateinamenskonvention (gemäß Kommunikationsrichtlinie der Bundesnetzagentur „Verfahrensbeschreibung zur Abwicklung des Austauschs von EDIFACT Dateien“)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Codepflegende Stellen sind: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UN für EDIFACT-Syntax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GS1 für ILN-Nummer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DVGW-Codenummer</w:t>
      </w:r>
    </w:p>
    <w:p w:rsidR="00A53CA6" w:rsidRPr="00303203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Netzbetreiber für Zählpunkte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303203">
        <w:rPr>
          <w:rFonts w:eastAsia="Calibri" w:cs="Arial"/>
          <w:sz w:val="16"/>
          <w:szCs w:val="16"/>
          <w:lang w:eastAsia="en-US"/>
        </w:rPr>
        <w:t xml:space="preserve">- </w:t>
      </w:r>
      <w:r w:rsidRPr="00303203">
        <w:rPr>
          <w:rFonts w:eastAsia="Calibri" w:cs="Arial"/>
          <w:sz w:val="22"/>
          <w:szCs w:val="22"/>
          <w:lang w:eastAsia="en-US"/>
        </w:rPr>
        <w:t>BDEW für alle anderen (z.B.: Rechnungstypen, Artikelnummern)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b/>
          <w:bCs/>
          <w:sz w:val="22"/>
          <w:szCs w:val="22"/>
          <w:lang w:eastAsia="en-US"/>
        </w:rPr>
      </w:pPr>
      <w:r w:rsidRPr="007B1CBA">
        <w:rPr>
          <w:rFonts w:eastAsia="Calibri" w:cs="Arial"/>
          <w:b/>
          <w:bCs/>
          <w:sz w:val="22"/>
          <w:szCs w:val="22"/>
          <w:lang w:eastAsia="en-US"/>
        </w:rPr>
        <w:t xml:space="preserve">5. </w:t>
      </w:r>
      <w:proofErr w:type="spellStart"/>
      <w:r w:rsidRPr="007B1CBA">
        <w:rPr>
          <w:rFonts w:eastAsia="Calibri" w:cs="Arial"/>
          <w:b/>
          <w:bCs/>
          <w:sz w:val="22"/>
          <w:szCs w:val="22"/>
          <w:lang w:eastAsia="en-US"/>
        </w:rPr>
        <w:t>Vedis</w:t>
      </w:r>
      <w:proofErr w:type="spellEnd"/>
      <w:r w:rsidRPr="007B1CBA">
        <w:rPr>
          <w:rFonts w:eastAsia="Calibri" w:cs="Arial"/>
          <w:b/>
          <w:bCs/>
          <w:sz w:val="22"/>
          <w:szCs w:val="22"/>
          <w:lang w:eastAsia="en-US"/>
        </w:rPr>
        <w:t>-Empfehlung zur Datensicherheit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Zur Gewährleistung einer sicheren Kommunikation zwischen den Parteien wird auf die Sicherheitsrahmenbedingungen für den elektronischen Geschäftsverkehr im deutschen</w:t>
      </w:r>
    </w:p>
    <w:p w:rsidR="00A53CA6" w:rsidRPr="007B1CBA" w:rsidRDefault="00A53CA6" w:rsidP="00A53CA6">
      <w:pPr>
        <w:autoSpaceDE w:val="0"/>
        <w:autoSpaceDN w:val="0"/>
        <w:adjustRightInd w:val="0"/>
        <w:rPr>
          <w:rFonts w:eastAsia="Calibri" w:cs="Arial"/>
          <w:sz w:val="22"/>
          <w:szCs w:val="22"/>
          <w:lang w:eastAsia="en-US"/>
        </w:rPr>
      </w:pPr>
      <w:r w:rsidRPr="007B1CBA">
        <w:rPr>
          <w:rFonts w:eastAsia="Calibri" w:cs="Arial"/>
          <w:sz w:val="22"/>
          <w:szCs w:val="22"/>
          <w:lang w:eastAsia="en-US"/>
        </w:rPr>
        <w:t>Strommarkt (</w:t>
      </w:r>
      <w:proofErr w:type="spellStart"/>
      <w:r w:rsidRPr="007B1CBA">
        <w:rPr>
          <w:rFonts w:eastAsia="Calibri" w:cs="Arial"/>
          <w:sz w:val="22"/>
          <w:szCs w:val="22"/>
          <w:lang w:eastAsia="en-US"/>
        </w:rPr>
        <w:t>Vedis</w:t>
      </w:r>
      <w:proofErr w:type="spellEnd"/>
      <w:r w:rsidRPr="007B1CBA">
        <w:rPr>
          <w:rFonts w:eastAsia="Calibri" w:cs="Arial"/>
          <w:sz w:val="22"/>
          <w:szCs w:val="22"/>
          <w:lang w:eastAsia="en-US"/>
        </w:rPr>
        <w:t>-Empfehlung) bei Verwendung von E-Mail als Übertragungsweg und auf</w:t>
      </w:r>
    </w:p>
    <w:p w:rsidR="00A53CA6" w:rsidRDefault="00A53CA6" w:rsidP="00A53CA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7B1CBA">
        <w:rPr>
          <w:rFonts w:eastAsia="Calibri" w:cs="Arial"/>
          <w:sz w:val="22"/>
          <w:szCs w:val="22"/>
          <w:lang w:eastAsia="en-US"/>
        </w:rPr>
        <w:t>die Studie über sichere webbasierte Übertragungswege, Version 2.0, verwiesen.</w:t>
      </w:r>
    </w:p>
    <w:p w:rsidR="00C353AF" w:rsidRDefault="002F4A60"/>
    <w:sectPr w:rsidR="00C353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A6"/>
    <w:rsid w:val="00035CA5"/>
    <w:rsid w:val="000906BB"/>
    <w:rsid w:val="002D7F25"/>
    <w:rsid w:val="002F4A60"/>
    <w:rsid w:val="009E508E"/>
    <w:rsid w:val="00A53CA6"/>
    <w:rsid w:val="00DD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311B6-1816-4F3E-85DE-FB450C8FD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53CA6"/>
    <w:pPr>
      <w:spacing w:after="0" w:line="240" w:lineRule="auto"/>
    </w:pPr>
    <w:rPr>
      <w:rFonts w:ascii="Arial" w:eastAsia="Times New Roman" w:hAnsi="Arial" w:cs="Times New Roman"/>
      <w:sz w:val="21"/>
      <w:szCs w:val="21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CC0B4EAD97D447859CC21E79FC082F" ma:contentTypeVersion="14" ma:contentTypeDescription="Ein neues Dokument erstellen." ma:contentTypeScope="" ma:versionID="0ef3ae03df17e03d582de6be2ac77f48">
  <xsd:schema xmlns:xsd="http://www.w3.org/2001/XMLSchema" xmlns:xs="http://www.w3.org/2001/XMLSchema" xmlns:p="http://schemas.microsoft.com/office/2006/metadata/properties" xmlns:ns2="564a9f78-9d27-49f4-b8f5-3070e58e71fd" xmlns:ns3="565f770e-2197-4573-8f21-345b9ec8f605" targetNamespace="http://schemas.microsoft.com/office/2006/metadata/properties" ma:root="true" ma:fieldsID="553da863042e7bc3e6c87ec06c85b173" ns2:_="" ns3:_="">
    <xsd:import namespace="564a9f78-9d27-49f4-b8f5-3070e58e71fd"/>
    <xsd:import namespace="565f770e-2197-4573-8f21-345b9ec8f60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4a9f78-9d27-49f4-b8f5-3070e58e7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07dda8dc-c006-4852-b2fd-1b5e5917cf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f770e-2197-4573-8f21-345b9ec8f60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b043dccf-e028-4618-91a6-a7c72835392e}" ma:internalName="TaxCatchAll" ma:showField="CatchAllData" ma:web="565f770e-2197-4573-8f21-345b9ec8f6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64a9f78-9d27-49f4-b8f5-3070e58e71fd">
      <Terms xmlns="http://schemas.microsoft.com/office/infopath/2007/PartnerControls"/>
    </lcf76f155ced4ddcb4097134ff3c332f>
    <TaxCatchAll xmlns="565f770e-2197-4573-8f21-345b9ec8f605" xsi:nil="true"/>
  </documentManagement>
</p:properties>
</file>

<file path=customXml/itemProps1.xml><?xml version="1.0" encoding="utf-8"?>
<ds:datastoreItem xmlns:ds="http://schemas.openxmlformats.org/officeDocument/2006/customXml" ds:itemID="{ED6DBF82-83F7-4F29-AB58-5AB8AAF84EC8}"/>
</file>

<file path=customXml/itemProps2.xml><?xml version="1.0" encoding="utf-8"?>
<ds:datastoreItem xmlns:ds="http://schemas.openxmlformats.org/officeDocument/2006/customXml" ds:itemID="{9C5E2F27-C4FE-454F-BA04-F6DE77D8C9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A8F93-3198-4B99-8BE5-89FA571565D2}">
  <ds:schemaRefs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Niklas Merkel</dc:creator>
  <cp:keywords/>
  <dc:description/>
  <cp:lastModifiedBy>Kerstin Starck</cp:lastModifiedBy>
  <cp:revision>3</cp:revision>
  <dcterms:created xsi:type="dcterms:W3CDTF">2016-07-21T11:16:00Z</dcterms:created>
  <dcterms:modified xsi:type="dcterms:W3CDTF">2016-07-21T11:23:00Z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0x01010081CC0B4EAD97D447859CC21E79FC082F</vt:lpwstr>
  </property>
</Properties>
</file>